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52458613" w:displacedByCustomXml="next"/>
    <w:sdt>
      <w:sdtPr>
        <w:rPr>
          <w:b/>
          <w:bCs/>
        </w:rPr>
        <w:id w:val="-134793245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EE73E2" w:rsidRDefault="00EE73E2" w:rsidP="00EE73E2">
          <w:pPr>
            <w:rPr>
              <w:i/>
              <w:noProof/>
              <w:sz w:val="28"/>
              <w:szCs w:val="28"/>
            </w:rPr>
          </w:pPr>
        </w:p>
        <w:p w:rsidR="00EE73E2" w:rsidRDefault="00EE73E2" w:rsidP="00EE73E2">
          <w:pPr>
            <w:rPr>
              <w:i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4A8BDF01" wp14:editId="72F6F616">
                <wp:extent cx="6143625" cy="5862520"/>
                <wp:effectExtent l="0" t="0" r="0" b="508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5106" cy="5911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EE73E2" w:rsidRDefault="00EE73E2" w:rsidP="00EE73E2">
          <w:pPr>
            <w:jc w:val="center"/>
            <w:rPr>
              <w:i/>
              <w:sz w:val="28"/>
              <w:szCs w:val="28"/>
            </w:rPr>
          </w:pPr>
        </w:p>
        <w:tbl>
          <w:tblPr>
            <w:tblStyle w:val="Tabelacomgrade"/>
            <w:tblW w:w="9482" w:type="dxa"/>
            <w:tblInd w:w="108" w:type="dxa"/>
            <w:tbl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  <w:insideH w:val="dashed" w:sz="4" w:space="0" w:color="auto"/>
              <w:insideV w:val="dashed" w:sz="4" w:space="0" w:color="auto"/>
            </w:tblBorders>
            <w:shd w:val="clear" w:color="auto" w:fill="EAF1DD" w:themeFill="accent3" w:themeFillTint="33"/>
            <w:tblLook w:val="04A0" w:firstRow="1" w:lastRow="0" w:firstColumn="1" w:lastColumn="0" w:noHBand="0" w:noVBand="1"/>
          </w:tblPr>
          <w:tblGrid>
            <w:gridCol w:w="9482"/>
          </w:tblGrid>
          <w:tr w:rsidR="00EE73E2" w:rsidTr="006F2DE1">
            <w:trPr>
              <w:trHeight w:val="575"/>
            </w:trPr>
            <w:tc>
              <w:tcPr>
                <w:tcW w:w="9482" w:type="dxa"/>
                <w:shd w:val="clear" w:color="auto" w:fill="EAF1DD" w:themeFill="accent3" w:themeFillTint="33"/>
              </w:tcPr>
              <w:p w:rsidR="00EE73E2" w:rsidRPr="008661D4" w:rsidRDefault="00EE73E2" w:rsidP="006F2DE1">
                <w:pPr>
                  <w:jc w:val="center"/>
                </w:pPr>
                <w:r>
                  <w:rPr>
                    <w:sz w:val="52"/>
                    <w:szCs w:val="52"/>
                  </w:rPr>
                  <w:t>MEMORIAL DESCRITIVO</w:t>
                </w:r>
              </w:p>
              <w:p w:rsidR="00EE73E2" w:rsidRPr="008661D4" w:rsidRDefault="00EE73E2" w:rsidP="003F0193">
                <w:pPr>
                  <w:pStyle w:val="Ttulo"/>
                </w:pPr>
                <w:r>
                  <w:t>1</w:t>
                </w:r>
                <w:r w:rsidR="003F0193">
                  <w:t>0</w:t>
                </w:r>
                <w:r>
                  <w:t xml:space="preserve"> | INSTALAÇÕES DE ÁGUAS PLUVIAIS</w:t>
                </w:r>
              </w:p>
            </w:tc>
          </w:tr>
        </w:tbl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lastRenderedPageBreak/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bookmarkStart w:id="1" w:name="_GoBack"/>
        <w:bookmarkEnd w:id="1"/>
        <w:p w:rsidR="003F0193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15287" w:history="1">
            <w:r w:rsidR="003F0193" w:rsidRPr="002B6E32">
              <w:rPr>
                <w:rStyle w:val="Hyperlink"/>
                <w:noProof/>
              </w:rPr>
              <w:t>10</w:t>
            </w:r>
            <w:r w:rsidR="003F0193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3F0193" w:rsidRPr="002B6E32">
              <w:rPr>
                <w:rStyle w:val="Hyperlink"/>
                <w:noProof/>
              </w:rPr>
              <w:t>INSTALAÇÕES DE ÁGUAS PLUVIAIS</w:t>
            </w:r>
            <w:r w:rsidR="003F0193">
              <w:rPr>
                <w:noProof/>
                <w:webHidden/>
              </w:rPr>
              <w:tab/>
            </w:r>
            <w:r w:rsidR="003F0193">
              <w:rPr>
                <w:noProof/>
                <w:webHidden/>
              </w:rPr>
              <w:fldChar w:fldCharType="begin"/>
            </w:r>
            <w:r w:rsidR="003F0193">
              <w:rPr>
                <w:noProof/>
                <w:webHidden/>
              </w:rPr>
              <w:instrText xml:space="preserve"> PAGEREF _Toc526515287 \h </w:instrText>
            </w:r>
            <w:r w:rsidR="003F0193">
              <w:rPr>
                <w:noProof/>
                <w:webHidden/>
              </w:rPr>
            </w:r>
            <w:r w:rsidR="003F0193">
              <w:rPr>
                <w:noProof/>
                <w:webHidden/>
              </w:rPr>
              <w:fldChar w:fldCharType="separate"/>
            </w:r>
            <w:r w:rsidR="003F0193">
              <w:rPr>
                <w:noProof/>
                <w:webHidden/>
              </w:rPr>
              <w:t>3</w:t>
            </w:r>
            <w:r w:rsidR="003F0193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3F0193"/>
      </w:sdtContent>
    </w:sdt>
    <w:p w:rsidR="00F378BE" w:rsidRPr="00EE73E2" w:rsidRDefault="003D4DDC" w:rsidP="00F378BE">
      <w:r>
        <w:br w:type="page"/>
      </w:r>
    </w:p>
    <w:p w:rsidR="00F378BE" w:rsidRDefault="00F378BE" w:rsidP="003F0193">
      <w:pPr>
        <w:pStyle w:val="Ttulo2"/>
      </w:pPr>
      <w:bookmarkStart w:id="2" w:name="_Toc452458619"/>
      <w:bookmarkStart w:id="3" w:name="_Toc526515287"/>
      <w:r w:rsidRPr="00F378BE">
        <w:lastRenderedPageBreak/>
        <w:t>INSTALAÇÕES</w:t>
      </w:r>
      <w:r w:rsidR="003F0193">
        <w:t xml:space="preserve"> DE ÁGUAS PLUVIAIS</w:t>
      </w:r>
      <w:bookmarkEnd w:id="3"/>
      <w:r w:rsidRPr="00F378BE">
        <w:t xml:space="preserve"> </w:t>
      </w:r>
      <w:bookmarkEnd w:id="2"/>
    </w:p>
    <w:p w:rsidR="003F0193" w:rsidRDefault="003F0193" w:rsidP="00F378BE">
      <w:pPr>
        <w:rPr>
          <w:lang w:eastAsia="en-US"/>
        </w:rPr>
      </w:pPr>
    </w:p>
    <w:p w:rsidR="00F378BE" w:rsidRDefault="00F378BE" w:rsidP="00F378BE">
      <w:pPr>
        <w:rPr>
          <w:lang w:eastAsia="en-US"/>
        </w:rPr>
      </w:pPr>
      <w:r>
        <w:rPr>
          <w:lang w:eastAsia="en-US"/>
        </w:rPr>
        <w:t>a) Normas aplicáveis</w:t>
      </w:r>
    </w:p>
    <w:p w:rsidR="00F378BE" w:rsidRDefault="00F378BE" w:rsidP="00F378B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8"/>
        <w:gridCol w:w="6306"/>
      </w:tblGrid>
      <w:tr w:rsidR="00F378BE" w:rsidTr="005D09B7">
        <w:tc>
          <w:tcPr>
            <w:tcW w:w="3085" w:type="dxa"/>
            <w:shd w:val="pct25" w:color="auto" w:fill="auto"/>
          </w:tcPr>
          <w:p w:rsidR="00F378BE" w:rsidRPr="00CA49EB" w:rsidRDefault="00F378BE" w:rsidP="005D09B7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409" w:type="dxa"/>
            <w:shd w:val="pct25" w:color="auto" w:fill="auto"/>
          </w:tcPr>
          <w:p w:rsidR="00F378BE" w:rsidRPr="00CA49EB" w:rsidRDefault="00F378BE" w:rsidP="005D09B7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F378BE" w:rsidTr="005D09B7">
        <w:tc>
          <w:tcPr>
            <w:tcW w:w="3085" w:type="dxa"/>
          </w:tcPr>
          <w:p w:rsidR="00F378BE" w:rsidRDefault="00F378BE" w:rsidP="005D09B7">
            <w:r>
              <w:t>NBR 10844</w:t>
            </w:r>
          </w:p>
        </w:tc>
        <w:tc>
          <w:tcPr>
            <w:tcW w:w="6409" w:type="dxa"/>
          </w:tcPr>
          <w:p w:rsidR="00F378BE" w:rsidRDefault="00F378BE" w:rsidP="005D09B7">
            <w:r>
              <w:t>Instalações prediais de águas pluviais – Procedimento</w:t>
            </w:r>
          </w:p>
        </w:tc>
      </w:tr>
      <w:tr w:rsidR="00F378BE" w:rsidTr="005D09B7">
        <w:tc>
          <w:tcPr>
            <w:tcW w:w="9494" w:type="dxa"/>
            <w:gridSpan w:val="2"/>
          </w:tcPr>
          <w:p w:rsidR="00F378BE" w:rsidRPr="00F83014" w:rsidRDefault="00F378BE" w:rsidP="005D09B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F378BE" w:rsidRDefault="00F378BE" w:rsidP="00F378BE"/>
    <w:p w:rsidR="00F378BE" w:rsidRDefault="00F378BE" w:rsidP="00F378BE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F378BE" w:rsidRPr="00851E62" w:rsidRDefault="00F378BE" w:rsidP="00F378BE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F378BE" w:rsidRDefault="00F378BE" w:rsidP="00F378BE">
      <w:r>
        <w:t xml:space="preserve">As instalações de drenagem pluvial serão em </w:t>
      </w:r>
      <w:r w:rsidRPr="00B8370B">
        <w:rPr>
          <w:b/>
          <w:u w:val="single"/>
        </w:rPr>
        <w:t>PVC rígido soldável</w:t>
      </w:r>
      <w:r>
        <w:t xml:space="preserve">, sendo realizada a captação desde a cobertura da edificação através de calhas, para com tubos de queda conduzir-se até o pavimento térreo e posteriormente lançar na rede pública. </w:t>
      </w:r>
    </w:p>
    <w:p w:rsidR="00F378BE" w:rsidRDefault="00F378BE" w:rsidP="00F378BE"/>
    <w:p w:rsidR="00F378BE" w:rsidRDefault="00F378BE" w:rsidP="00F378BE">
      <w:r>
        <w:t>c) Especificações técnicas dos materiais</w:t>
      </w:r>
    </w:p>
    <w:p w:rsidR="00F378BE" w:rsidRDefault="00F378BE" w:rsidP="00F378B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6"/>
        <w:gridCol w:w="6298"/>
      </w:tblGrid>
      <w:tr w:rsidR="00F378BE" w:rsidRPr="00CA49EB" w:rsidTr="005D09B7">
        <w:tc>
          <w:tcPr>
            <w:tcW w:w="3085" w:type="dxa"/>
            <w:shd w:val="pct25" w:color="auto" w:fill="auto"/>
          </w:tcPr>
          <w:p w:rsidR="00F378BE" w:rsidRPr="00CA49EB" w:rsidRDefault="00F378BE" w:rsidP="005D09B7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409" w:type="dxa"/>
            <w:shd w:val="pct25" w:color="auto" w:fill="auto"/>
          </w:tcPr>
          <w:p w:rsidR="00F378BE" w:rsidRPr="00CA49EB" w:rsidRDefault="00F378BE" w:rsidP="005D09B7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F378BE" w:rsidTr="005D09B7">
        <w:tc>
          <w:tcPr>
            <w:tcW w:w="3085" w:type="dxa"/>
          </w:tcPr>
          <w:p w:rsidR="00F378BE" w:rsidRDefault="00F378BE" w:rsidP="005D09B7">
            <w:r>
              <w:t>Tubulações, conexões e acessórios</w:t>
            </w:r>
          </w:p>
        </w:tc>
        <w:tc>
          <w:tcPr>
            <w:tcW w:w="6409" w:type="dxa"/>
          </w:tcPr>
          <w:p w:rsidR="00F378BE" w:rsidRDefault="00F378BE" w:rsidP="005D09B7">
            <w:r w:rsidRPr="00851E62">
              <w:t xml:space="preserve">PVC – Cloreto de </w:t>
            </w:r>
            <w:proofErr w:type="spellStart"/>
            <w:r w:rsidRPr="00851E62">
              <w:t>Polivinila</w:t>
            </w:r>
            <w:proofErr w:type="spellEnd"/>
            <w:r w:rsidRPr="00851E62">
              <w:t xml:space="preserve">, cor </w:t>
            </w:r>
            <w:r>
              <w:t>branca, t</w:t>
            </w:r>
            <w:r w:rsidRPr="00851E62">
              <w:t xml:space="preserve">emperatura máxima de trabalho: </w:t>
            </w:r>
            <w:r>
              <w:t>45</w:t>
            </w:r>
            <w:r w:rsidRPr="00851E62">
              <w:t>°C</w:t>
            </w:r>
            <w:r>
              <w:t>, superfície interna lisa.</w:t>
            </w:r>
          </w:p>
        </w:tc>
      </w:tr>
      <w:tr w:rsidR="00F378BE" w:rsidTr="005D09B7">
        <w:tc>
          <w:tcPr>
            <w:tcW w:w="3085" w:type="dxa"/>
          </w:tcPr>
          <w:p w:rsidR="00F378BE" w:rsidRDefault="00F378BE" w:rsidP="005D09B7">
            <w:r>
              <w:t>Calhas e rufos</w:t>
            </w:r>
          </w:p>
        </w:tc>
        <w:tc>
          <w:tcPr>
            <w:tcW w:w="6409" w:type="dxa"/>
          </w:tcPr>
          <w:p w:rsidR="00F378BE" w:rsidRDefault="00F378BE" w:rsidP="005D09B7">
            <w:r>
              <w:t>Aço galvanizado número 24.</w:t>
            </w:r>
          </w:p>
        </w:tc>
      </w:tr>
      <w:tr w:rsidR="00F378BE" w:rsidTr="005D09B7">
        <w:tc>
          <w:tcPr>
            <w:tcW w:w="3085" w:type="dxa"/>
          </w:tcPr>
          <w:p w:rsidR="00F378BE" w:rsidRDefault="00F378BE" w:rsidP="005D09B7">
            <w:r>
              <w:t>Caixas diversas</w:t>
            </w:r>
          </w:p>
        </w:tc>
        <w:tc>
          <w:tcPr>
            <w:tcW w:w="6409" w:type="dxa"/>
          </w:tcPr>
          <w:p w:rsidR="00F378BE" w:rsidRDefault="00F378BE" w:rsidP="005D09B7">
            <w:r>
              <w:t>Fundo, paredes e tampas em concreto armado.</w:t>
            </w:r>
          </w:p>
        </w:tc>
      </w:tr>
      <w:tr w:rsidR="00F378BE" w:rsidRPr="0021719F" w:rsidTr="005D09B7">
        <w:tc>
          <w:tcPr>
            <w:tcW w:w="9494" w:type="dxa"/>
            <w:gridSpan w:val="2"/>
          </w:tcPr>
          <w:p w:rsidR="00F378BE" w:rsidRPr="0021719F" w:rsidRDefault="00F378BE" w:rsidP="005D09B7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F378BE" w:rsidRDefault="00F378BE" w:rsidP="00F378BE"/>
    <w:p w:rsidR="00F378BE" w:rsidRDefault="00F378BE" w:rsidP="00F378BE">
      <w:r>
        <w:t>d) Procedimentos de execução</w:t>
      </w:r>
    </w:p>
    <w:p w:rsidR="00F378BE" w:rsidRDefault="00F378BE" w:rsidP="00F378BE">
      <w:pPr>
        <w:rPr>
          <w:lang w:eastAsia="en-US"/>
        </w:rPr>
      </w:pPr>
    </w:p>
    <w:p w:rsidR="007059A6" w:rsidRDefault="007059A6" w:rsidP="007059A6">
      <w:r>
        <w:t xml:space="preserve">Deverão ser verificados e seguidos os detalhamentos de projeto, bem como angulações, posições de equipamentos, prumadas, </w:t>
      </w:r>
      <w:proofErr w:type="spellStart"/>
      <w:r>
        <w:t>desconectores</w:t>
      </w:r>
      <w:proofErr w:type="spellEnd"/>
      <w:r>
        <w:t xml:space="preserve">, etc. Os tubos devem ser fixados com sistema de </w:t>
      </w:r>
      <w:proofErr w:type="spellStart"/>
      <w:r>
        <w:t>suportação</w:t>
      </w:r>
      <w:proofErr w:type="spellEnd"/>
      <w:r>
        <w:t xml:space="preserve"> adequado, de modo a evitar o </w:t>
      </w:r>
      <w:proofErr w:type="spellStart"/>
      <w:r>
        <w:t>tensionamento</w:t>
      </w:r>
      <w:proofErr w:type="spellEnd"/>
      <w:r>
        <w:t xml:space="preserve"> da tubulação.</w:t>
      </w:r>
      <w:r w:rsidR="00EE73E2">
        <w:t xml:space="preserve"> </w:t>
      </w:r>
      <w:r w:rsidRPr="00851E62">
        <w:t>Deverão ser observados detalhes de encaixe, dilatação</w:t>
      </w:r>
      <w:r>
        <w:t xml:space="preserve"> e</w:t>
      </w:r>
      <w:r w:rsidRPr="00851E62">
        <w:t xml:space="preserve"> montagem, de maneira a obter-se qualidade e segurança, sem risco de vazamentos ou acidentes. A conexão dos tubos deverá ser efetuada conforme orientações técnicas dos fabricantes, utilizando solução limpadora e adesivo ou lubrificante.</w:t>
      </w:r>
      <w:r w:rsidR="00EE73E2">
        <w:t xml:space="preserve"> </w:t>
      </w:r>
      <w:r>
        <w:t>Quanto aos cuidados com as juntas soldadas ou elásticas</w:t>
      </w:r>
      <w:r w:rsidR="00EE73E2">
        <w:t>.</w:t>
      </w:r>
    </w:p>
    <w:p w:rsidR="00EE73E2" w:rsidRDefault="00EE73E2" w:rsidP="007059A6"/>
    <w:p w:rsidR="00EE73E2" w:rsidRPr="00EB7045" w:rsidRDefault="00EE73E2" w:rsidP="00EE73E2">
      <w:pPr>
        <w:rPr>
          <w:color w:val="FF0000"/>
        </w:rPr>
      </w:pPr>
      <w:r>
        <w:t xml:space="preserve">Deverão ser realizados os cortes na alvenaria de maneira uniforme e exatamente conforme detalhamento de projeto (isométricos e vistas) de maneira a possibilitar a futura localização e manutenção das instalações. Quando aéreo (entre forro e laje) devem ser fixados com sistema de </w:t>
      </w:r>
      <w:proofErr w:type="spellStart"/>
      <w:r>
        <w:t>suportação</w:t>
      </w:r>
      <w:proofErr w:type="spellEnd"/>
      <w:r>
        <w:t xml:space="preserve"> adequado, de modo a evitar o </w:t>
      </w:r>
      <w:proofErr w:type="spellStart"/>
      <w:r>
        <w:t>tensionamento</w:t>
      </w:r>
      <w:proofErr w:type="spellEnd"/>
      <w:r>
        <w:t xml:space="preserve"> da tubulação.</w:t>
      </w:r>
    </w:p>
    <w:p w:rsidR="00EE73E2" w:rsidRDefault="00EE73E2" w:rsidP="00EE73E2"/>
    <w:p w:rsidR="00EE73E2" w:rsidRPr="00851E62" w:rsidRDefault="00EE73E2" w:rsidP="00EE73E2">
      <w:r w:rsidRPr="00851E62">
        <w:t xml:space="preserve">Deverão ser observados detalhes de </w:t>
      </w:r>
      <w:proofErr w:type="spellStart"/>
      <w:r w:rsidRPr="00851E62">
        <w:t>rosqueamento</w:t>
      </w:r>
      <w:proofErr w:type="spellEnd"/>
      <w:r w:rsidRPr="00851E62">
        <w:t xml:space="preserve">, encaixe, dilatação, golpe de </w:t>
      </w:r>
      <w:r>
        <w:t>a</w:t>
      </w:r>
      <w:r w:rsidRPr="00851E62">
        <w:t xml:space="preserve">ríete e montagem, de maneira a obter-se qualidade e segurança, sem risco de vazamentos ou acidentes. </w:t>
      </w:r>
    </w:p>
    <w:p w:rsidR="00EE73E2" w:rsidRDefault="00EE73E2" w:rsidP="00EE73E2"/>
    <w:p w:rsidR="00EE73E2" w:rsidRPr="00851E62" w:rsidRDefault="00EE73E2" w:rsidP="00EE73E2">
      <w:r>
        <w:lastRenderedPageBreak/>
        <w:t>N</w:t>
      </w:r>
      <w:r w:rsidRPr="00851E62">
        <w:t>as ligações de torneiras, ligações para bebedouros, lavatórios</w:t>
      </w:r>
      <w:r>
        <w:t>,</w:t>
      </w:r>
      <w:r w:rsidRPr="00851E62">
        <w:t xml:space="preserve"> caixas de descarga, registros e outros acessórios metálicos, </w:t>
      </w:r>
      <w:r>
        <w:t>foram previstas</w:t>
      </w:r>
      <w:r w:rsidRPr="00851E62">
        <w:t xml:space="preserve"> conexões azuis com bucha de latão.</w:t>
      </w:r>
    </w:p>
    <w:p w:rsidR="00EE73E2" w:rsidRPr="00851E62" w:rsidRDefault="00EE73E2" w:rsidP="00EE73E2"/>
    <w:p w:rsidR="00EE73E2" w:rsidRPr="00851E62" w:rsidRDefault="00EE73E2" w:rsidP="00EE73E2">
      <w:r w:rsidRPr="00851E62">
        <w:t>A conexão dos tubos deverá ser efetuada conforme orientações técnicas dos fabricantes, utilizando solução limpadora e adesivo ou lubrificante.</w:t>
      </w:r>
    </w:p>
    <w:p w:rsidR="00EE73E2" w:rsidRDefault="00EE73E2" w:rsidP="00EE73E2">
      <w:pPr>
        <w:ind w:right="127"/>
      </w:pPr>
    </w:p>
    <w:p w:rsidR="00EE73E2" w:rsidRDefault="00EE73E2" w:rsidP="00EE73E2">
      <w:pPr>
        <w:ind w:right="127"/>
      </w:pPr>
      <w:r w:rsidRPr="00D77EE3">
        <w:t>As</w:t>
      </w:r>
      <w:r w:rsidRPr="00052C53">
        <w:t xml:space="preserve"> </w:t>
      </w:r>
      <w:r w:rsidRPr="00D77EE3">
        <w:t>juntas</w:t>
      </w:r>
      <w:r w:rsidRPr="00052C53">
        <w:t xml:space="preserve"> </w:t>
      </w:r>
      <w:r w:rsidRPr="00D77EE3">
        <w:t>soldadas</w:t>
      </w:r>
      <w:r w:rsidRPr="00052C53">
        <w:t xml:space="preserve"> </w:t>
      </w:r>
      <w:r w:rsidRPr="00D77EE3">
        <w:t>dos</w:t>
      </w:r>
      <w:r w:rsidRPr="00052C53">
        <w:t xml:space="preserve"> </w:t>
      </w:r>
      <w:r w:rsidRPr="00D77EE3">
        <w:t>tubos</w:t>
      </w:r>
      <w:r w:rsidRPr="00052C53">
        <w:t xml:space="preserve"> </w:t>
      </w:r>
      <w:r w:rsidRPr="00D77EE3">
        <w:t>de</w:t>
      </w:r>
      <w:r w:rsidRPr="00052C53">
        <w:t xml:space="preserve"> </w:t>
      </w:r>
      <w:r w:rsidRPr="00D77EE3">
        <w:t>PVC</w:t>
      </w:r>
      <w:r w:rsidRPr="00052C53">
        <w:t xml:space="preserve"> </w:t>
      </w:r>
      <w:r w:rsidRPr="00D77EE3">
        <w:t>deverão</w:t>
      </w:r>
      <w:r w:rsidRPr="00052C53">
        <w:t xml:space="preserve"> </w:t>
      </w:r>
      <w:r w:rsidRPr="00D77EE3">
        <w:t>ser</w:t>
      </w:r>
      <w:r w:rsidRPr="00052C53">
        <w:t xml:space="preserve"> </w:t>
      </w:r>
      <w:r w:rsidRPr="00D77EE3">
        <w:t>executadas</w:t>
      </w:r>
      <w:r w:rsidRPr="00052C53">
        <w:t xml:space="preserve"> </w:t>
      </w:r>
      <w:r w:rsidRPr="00D77EE3">
        <w:t>conforme</w:t>
      </w:r>
      <w:r w:rsidRPr="00052C53">
        <w:t xml:space="preserve"> </w:t>
      </w:r>
      <w:r w:rsidRPr="00D77EE3">
        <w:t>o</w:t>
      </w:r>
      <w:r w:rsidRPr="00052C53">
        <w:t xml:space="preserve"> </w:t>
      </w:r>
      <w:r w:rsidRPr="00D77EE3">
        <w:t>seguinte procedimento:</w:t>
      </w:r>
    </w:p>
    <w:p w:rsidR="00EE73E2" w:rsidRDefault="00EE73E2" w:rsidP="00EE73E2">
      <w:pPr>
        <w:ind w:left="158" w:right="127"/>
      </w:pPr>
    </w:p>
    <w:p w:rsidR="00EE73E2" w:rsidRPr="006A2DBD" w:rsidRDefault="00EE73E2" w:rsidP="00EE73E2">
      <w:pPr>
        <w:pStyle w:val="PargrafodaLista"/>
        <w:numPr>
          <w:ilvl w:val="0"/>
          <w:numId w:val="6"/>
        </w:numPr>
        <w:ind w:right="129"/>
        <w:rPr>
          <w:sz w:val="24"/>
          <w:szCs w:val="24"/>
        </w:rPr>
      </w:pPr>
      <w:r w:rsidRPr="006A2DBD">
        <w:rPr>
          <w:sz w:val="24"/>
          <w:szCs w:val="24"/>
        </w:rPr>
        <w:t xml:space="preserve">Antes de iniciar </w:t>
      </w:r>
      <w:r>
        <w:rPr>
          <w:sz w:val="24"/>
          <w:szCs w:val="24"/>
        </w:rPr>
        <w:t xml:space="preserve">o trabalho, deve-se </w:t>
      </w:r>
      <w:r w:rsidRPr="006A2DBD">
        <w:rPr>
          <w:sz w:val="24"/>
          <w:szCs w:val="24"/>
        </w:rPr>
        <w:t>verificar se a ponta e a bolsa dos tubos e conexões se acham limpas, se não, utilizar solução limpadora adequada, capaz de elimina</w:t>
      </w:r>
      <w:r>
        <w:rPr>
          <w:sz w:val="24"/>
          <w:szCs w:val="24"/>
        </w:rPr>
        <w:t>r qualquer substância gordurosa;</w:t>
      </w:r>
    </w:p>
    <w:p w:rsidR="00EE73E2" w:rsidRPr="006A2DBD" w:rsidRDefault="00EE73E2" w:rsidP="00EE73E2">
      <w:pPr>
        <w:pStyle w:val="PargrafodaLista"/>
        <w:numPr>
          <w:ilvl w:val="0"/>
          <w:numId w:val="6"/>
        </w:numPr>
        <w:ind w:right="127"/>
        <w:rPr>
          <w:sz w:val="24"/>
          <w:szCs w:val="24"/>
        </w:rPr>
      </w:pPr>
      <w:r w:rsidRPr="006A2DBD">
        <w:rPr>
          <w:sz w:val="24"/>
          <w:szCs w:val="24"/>
        </w:rPr>
        <w:t>Tirar o brilho das superfícies a serem soldadas, utilizando para isto a lixa. A lixa é importante, pois aumenta a área de ataque do adesivo facilitando a sua ação. Limpar a superfície lixada com solução limpadora, removendo as impurezas deixadas pela lixa e a gordura da mão, pois tais impurezas impedem a ação do adesiv</w:t>
      </w:r>
      <w:r>
        <w:rPr>
          <w:sz w:val="24"/>
          <w:szCs w:val="24"/>
        </w:rPr>
        <w:t>o;</w:t>
      </w:r>
    </w:p>
    <w:p w:rsidR="00EE73E2" w:rsidRPr="006A2DBD" w:rsidRDefault="00EE73E2" w:rsidP="00EE73E2">
      <w:pPr>
        <w:pStyle w:val="PargrafodaLista"/>
        <w:numPr>
          <w:ilvl w:val="0"/>
          <w:numId w:val="6"/>
        </w:numPr>
        <w:spacing w:before="2"/>
        <w:ind w:right="126"/>
        <w:rPr>
          <w:sz w:val="24"/>
          <w:szCs w:val="24"/>
        </w:rPr>
      </w:pPr>
      <w:r w:rsidRPr="006A2DBD">
        <w:rPr>
          <w:sz w:val="24"/>
          <w:szCs w:val="24"/>
        </w:rPr>
        <w:t xml:space="preserve">Distribuir uniformemente o adesivo nas duas superfícies tratadas utilizando </w:t>
      </w:r>
      <w:proofErr w:type="gramStart"/>
      <w:r w:rsidRPr="006A2DBD">
        <w:rPr>
          <w:sz w:val="24"/>
          <w:szCs w:val="24"/>
        </w:rPr>
        <w:t>para  isso</w:t>
      </w:r>
      <w:proofErr w:type="gramEnd"/>
      <w:r w:rsidRPr="006A2DBD">
        <w:rPr>
          <w:sz w:val="24"/>
          <w:szCs w:val="24"/>
        </w:rPr>
        <w:t xml:space="preserve">  um  pincel  ou  a</w:t>
      </w:r>
      <w:r>
        <w:rPr>
          <w:sz w:val="24"/>
          <w:szCs w:val="24"/>
        </w:rPr>
        <w:t xml:space="preserve">  própria  bisnaga.  O excesso </w:t>
      </w:r>
      <w:r w:rsidRPr="006A2DBD">
        <w:rPr>
          <w:sz w:val="24"/>
          <w:szCs w:val="24"/>
        </w:rPr>
        <w:t xml:space="preserve">de </w:t>
      </w:r>
      <w:proofErr w:type="gramStart"/>
      <w:r w:rsidRPr="006A2DBD">
        <w:rPr>
          <w:sz w:val="24"/>
          <w:szCs w:val="24"/>
        </w:rPr>
        <w:t>adesivo  deve</w:t>
      </w:r>
      <w:proofErr w:type="gramEnd"/>
      <w:r w:rsidRPr="006A2DBD">
        <w:rPr>
          <w:sz w:val="24"/>
          <w:szCs w:val="24"/>
        </w:rPr>
        <w:t xml:space="preserve">  ser retirado, pois o mesmo é um solvente que causa um processo de dissolução do material. Por essa razão</w:t>
      </w:r>
      <w:r>
        <w:rPr>
          <w:sz w:val="24"/>
          <w:szCs w:val="24"/>
        </w:rPr>
        <w:t xml:space="preserve"> não se presta para tapar furos;</w:t>
      </w:r>
    </w:p>
    <w:p w:rsidR="00EE73E2" w:rsidRPr="006A2DBD" w:rsidRDefault="00EE73E2" w:rsidP="00EE73E2">
      <w:pPr>
        <w:pStyle w:val="PargrafodaLista"/>
        <w:numPr>
          <w:ilvl w:val="0"/>
          <w:numId w:val="6"/>
        </w:numPr>
        <w:ind w:right="128"/>
        <w:rPr>
          <w:sz w:val="24"/>
          <w:szCs w:val="24"/>
        </w:rPr>
      </w:pPr>
      <w:r w:rsidRPr="006A2DBD">
        <w:rPr>
          <w:sz w:val="24"/>
          <w:szCs w:val="24"/>
        </w:rPr>
        <w:t>Encaixar as extremidades, e retirar o excesso de adesivo. O encaixe deve ser bastante justo, pois sem press</w:t>
      </w:r>
      <w:r>
        <w:rPr>
          <w:sz w:val="24"/>
          <w:szCs w:val="24"/>
        </w:rPr>
        <w:t>ão não se estabelece a soldagem;</w:t>
      </w:r>
    </w:p>
    <w:p w:rsidR="00EE73E2" w:rsidRPr="00F378BE" w:rsidRDefault="00EE73E2" w:rsidP="00EE73E2">
      <w:pPr>
        <w:pStyle w:val="PargrafodaLista"/>
        <w:numPr>
          <w:ilvl w:val="0"/>
          <w:numId w:val="6"/>
        </w:numPr>
        <w:ind w:right="128"/>
        <w:rPr>
          <w:sz w:val="24"/>
          <w:szCs w:val="24"/>
        </w:rPr>
      </w:pPr>
      <w:r w:rsidRPr="006A2DBD">
        <w:rPr>
          <w:sz w:val="24"/>
          <w:szCs w:val="24"/>
        </w:rPr>
        <w:t>Aguarde o tempo de soldagem de doze horas no mínimo, para co</w:t>
      </w:r>
      <w:r>
        <w:rPr>
          <w:sz w:val="24"/>
          <w:szCs w:val="24"/>
        </w:rPr>
        <w:t>locar a rede em carga (pressão) ou o tempo indicado pelo fabricante.</w:t>
      </w:r>
    </w:p>
    <w:p w:rsidR="00EE73E2" w:rsidRDefault="00EE73E2" w:rsidP="00EE73E2">
      <w:pPr>
        <w:ind w:right="127"/>
      </w:pPr>
      <w:r w:rsidRPr="00D77EE3">
        <w:t>As</w:t>
      </w:r>
      <w:r w:rsidRPr="00052C53">
        <w:t xml:space="preserve"> </w:t>
      </w:r>
      <w:r w:rsidRPr="00D77EE3">
        <w:t>juntas</w:t>
      </w:r>
      <w:r w:rsidRPr="00052C53">
        <w:t xml:space="preserve"> </w:t>
      </w:r>
      <w:r>
        <w:t>elásticas (quando houver)</w:t>
      </w:r>
      <w:r w:rsidRPr="00052C53">
        <w:t xml:space="preserve"> </w:t>
      </w:r>
      <w:r w:rsidRPr="00D77EE3">
        <w:t>deverão</w:t>
      </w:r>
      <w:r w:rsidRPr="00052C53">
        <w:t xml:space="preserve"> </w:t>
      </w:r>
      <w:r w:rsidRPr="00D77EE3">
        <w:t>ser</w:t>
      </w:r>
      <w:r w:rsidRPr="00052C53">
        <w:t xml:space="preserve"> </w:t>
      </w:r>
      <w:r w:rsidRPr="00D77EE3">
        <w:t>executadas</w:t>
      </w:r>
      <w:r w:rsidRPr="00052C53">
        <w:t xml:space="preserve"> </w:t>
      </w:r>
      <w:r w:rsidRPr="00D77EE3">
        <w:t>conforme</w:t>
      </w:r>
      <w:r w:rsidRPr="00052C53">
        <w:t xml:space="preserve"> </w:t>
      </w:r>
      <w:r w:rsidRPr="00D77EE3">
        <w:t>o</w:t>
      </w:r>
      <w:r w:rsidRPr="00052C53">
        <w:t xml:space="preserve"> </w:t>
      </w:r>
      <w:r w:rsidRPr="00D77EE3">
        <w:t>seguinte procedimento:</w:t>
      </w:r>
    </w:p>
    <w:p w:rsidR="00EE73E2" w:rsidRDefault="00EE73E2" w:rsidP="00EE73E2">
      <w:pPr>
        <w:ind w:right="128"/>
      </w:pPr>
    </w:p>
    <w:p w:rsidR="00EE73E2" w:rsidRPr="006A2DBD" w:rsidRDefault="00EE73E2" w:rsidP="00EE73E2">
      <w:pPr>
        <w:pStyle w:val="PargrafodaLista"/>
        <w:numPr>
          <w:ilvl w:val="0"/>
          <w:numId w:val="42"/>
        </w:numPr>
        <w:ind w:right="128"/>
        <w:rPr>
          <w:sz w:val="24"/>
          <w:szCs w:val="24"/>
        </w:rPr>
      </w:pPr>
      <w:r>
        <w:rPr>
          <w:sz w:val="24"/>
          <w:szCs w:val="24"/>
        </w:rPr>
        <w:t>D</w:t>
      </w:r>
      <w:r w:rsidRPr="006A2DBD">
        <w:rPr>
          <w:sz w:val="24"/>
          <w:szCs w:val="24"/>
        </w:rPr>
        <w:t>e</w:t>
      </w:r>
      <w:r>
        <w:rPr>
          <w:sz w:val="24"/>
          <w:szCs w:val="24"/>
        </w:rPr>
        <w:t xml:space="preserve">ve-se limpar a ponta e a bolsa </w:t>
      </w:r>
      <w:r w:rsidRPr="006A2DBD">
        <w:rPr>
          <w:sz w:val="24"/>
          <w:szCs w:val="24"/>
        </w:rPr>
        <w:t>do tubo, com especial cuidado na virola, aonde irá s</w:t>
      </w:r>
      <w:r>
        <w:rPr>
          <w:sz w:val="24"/>
          <w:szCs w:val="24"/>
        </w:rPr>
        <w:t>e alojar o anel de borracha;</w:t>
      </w:r>
    </w:p>
    <w:p w:rsidR="00EE73E2" w:rsidRPr="00042726" w:rsidRDefault="00EE73E2" w:rsidP="00EE73E2">
      <w:pPr>
        <w:pStyle w:val="PargrafodaLista"/>
        <w:numPr>
          <w:ilvl w:val="0"/>
          <w:numId w:val="42"/>
        </w:numPr>
        <w:ind w:right="128"/>
        <w:rPr>
          <w:szCs w:val="24"/>
        </w:rPr>
      </w:pPr>
      <w:r w:rsidRPr="0032384C">
        <w:rPr>
          <w:sz w:val="24"/>
          <w:szCs w:val="24"/>
        </w:rPr>
        <w:t>Quando houver necessidade de cortar o tubo, o corte deverá ser perpendicular ao eixo do mesmo. Após o corte removem-se as rebarbas e, para a união com anel de borracha</w:t>
      </w:r>
      <w:r>
        <w:rPr>
          <w:sz w:val="24"/>
          <w:szCs w:val="24"/>
        </w:rPr>
        <w:t>,</w:t>
      </w:r>
      <w:r w:rsidRPr="0032384C">
        <w:rPr>
          <w:sz w:val="24"/>
          <w:szCs w:val="24"/>
        </w:rPr>
        <w:t xml:space="preserve"> a ponta do tubo deverá ser chanf</w:t>
      </w:r>
      <w:r>
        <w:rPr>
          <w:sz w:val="24"/>
          <w:szCs w:val="24"/>
        </w:rPr>
        <w:t>rada com o auxílio de uma lima;</w:t>
      </w:r>
    </w:p>
    <w:p w:rsidR="00EE73E2" w:rsidRPr="003F0193" w:rsidRDefault="00EE73E2" w:rsidP="00EE73E2">
      <w:pPr>
        <w:pStyle w:val="PargrafodaLista"/>
        <w:numPr>
          <w:ilvl w:val="0"/>
          <w:numId w:val="42"/>
        </w:numPr>
        <w:ind w:right="128"/>
        <w:rPr>
          <w:szCs w:val="24"/>
        </w:rPr>
      </w:pPr>
      <w:r w:rsidRPr="0032384C">
        <w:rPr>
          <w:sz w:val="24"/>
          <w:szCs w:val="24"/>
        </w:rPr>
        <w:t>Acomodar o anel de borracha na virola da bolsa. A virola por ser do tipo trapezoidal, permite a montagem de juntas elásticas com menor esforço e também elimina a possibilidade de rolamento do anel para o in</w:t>
      </w:r>
      <w:r>
        <w:rPr>
          <w:sz w:val="24"/>
          <w:szCs w:val="24"/>
        </w:rPr>
        <w:t>terior da bolsa, por ocasião da montagem;</w:t>
      </w:r>
      <w:r w:rsidRPr="0032384C">
        <w:rPr>
          <w:sz w:val="24"/>
          <w:szCs w:val="24"/>
        </w:rPr>
        <w:t xml:space="preserve"> </w:t>
      </w:r>
    </w:p>
    <w:p w:rsidR="003F0193" w:rsidRPr="003F0193" w:rsidRDefault="003F0193" w:rsidP="003F0193">
      <w:pPr>
        <w:ind w:right="128"/>
      </w:pPr>
    </w:p>
    <w:p w:rsidR="00EE73E2" w:rsidRPr="005B5ADC" w:rsidRDefault="00EE73E2" w:rsidP="00EE73E2">
      <w:pPr>
        <w:pStyle w:val="PargrafodaLista"/>
        <w:numPr>
          <w:ilvl w:val="0"/>
          <w:numId w:val="42"/>
        </w:numPr>
        <w:ind w:right="128"/>
        <w:rPr>
          <w:szCs w:val="24"/>
        </w:rPr>
      </w:pPr>
      <w:r w:rsidRPr="0032384C">
        <w:rPr>
          <w:sz w:val="24"/>
          <w:szCs w:val="24"/>
        </w:rPr>
        <w:lastRenderedPageBreak/>
        <w:t>Introduzir a ponta chanfrada do tubo até o fundo da bolsa e, depois recuar 5</w:t>
      </w:r>
      <w:r>
        <w:rPr>
          <w:sz w:val="24"/>
          <w:szCs w:val="24"/>
        </w:rPr>
        <w:t xml:space="preserve"> </w:t>
      </w:r>
      <w:r w:rsidRPr="0032384C">
        <w:rPr>
          <w:sz w:val="24"/>
          <w:szCs w:val="24"/>
        </w:rPr>
        <w:t>mm no caso de canalizações expostas ou 2</w:t>
      </w:r>
      <w:r>
        <w:rPr>
          <w:sz w:val="24"/>
          <w:szCs w:val="24"/>
        </w:rPr>
        <w:t xml:space="preserve"> </w:t>
      </w:r>
      <w:r w:rsidRPr="0032384C">
        <w:rPr>
          <w:sz w:val="24"/>
          <w:szCs w:val="24"/>
        </w:rPr>
        <w:t xml:space="preserve">mm para canalizações embutidas, tendo como </w:t>
      </w:r>
      <w:proofErr w:type="gramStart"/>
      <w:r w:rsidRPr="0032384C">
        <w:rPr>
          <w:sz w:val="24"/>
          <w:szCs w:val="24"/>
        </w:rPr>
        <w:t>refer</w:t>
      </w:r>
      <w:r>
        <w:rPr>
          <w:sz w:val="24"/>
          <w:szCs w:val="24"/>
        </w:rPr>
        <w:t>ê</w:t>
      </w:r>
      <w:r w:rsidRPr="0032384C">
        <w:rPr>
          <w:sz w:val="24"/>
          <w:szCs w:val="24"/>
        </w:rPr>
        <w:t>ncia  a</w:t>
      </w:r>
      <w:proofErr w:type="gramEnd"/>
      <w:r w:rsidRPr="0032384C">
        <w:rPr>
          <w:sz w:val="24"/>
          <w:szCs w:val="24"/>
        </w:rPr>
        <w:t xml:space="preserve">  marca previamente feita na ponta do tubo. Esta folga se faz necessária para possibilitar a dilatação e movimentação da junta. Nas conexões, as pontas deverão ser introduzidas até o fundo da bolsa. Em instalações aparentes as conexões devem ser fixadas com braçadeiras para evitar o deslizamento das mesmas.</w:t>
      </w:r>
    </w:p>
    <w:p w:rsidR="00EE73E2" w:rsidRPr="007059A6" w:rsidRDefault="00EE73E2" w:rsidP="007059A6">
      <w:pPr>
        <w:rPr>
          <w:color w:val="FF0000"/>
        </w:rPr>
      </w:pPr>
    </w:p>
    <w:p w:rsidR="00EE73E2" w:rsidRDefault="00EE73E2"/>
    <w:bookmarkEnd w:id="0"/>
    <w:sectPr w:rsidR="00EE73E2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3F0193">
          <w:rPr>
            <w:noProof/>
            <w:sz w:val="20"/>
            <w:szCs w:val="20"/>
          </w:rPr>
          <w:t>2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B0BF0"/>
    <w:multiLevelType w:val="hybridMultilevel"/>
    <w:tmpl w:val="56846A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B7CCC"/>
    <w:multiLevelType w:val="hybridMultilevel"/>
    <w:tmpl w:val="E2F0A298"/>
    <w:lvl w:ilvl="0" w:tplc="425AF95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029F1"/>
    <w:multiLevelType w:val="hybridMultilevel"/>
    <w:tmpl w:val="7E586764"/>
    <w:lvl w:ilvl="0" w:tplc="EDC0972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36BDA"/>
    <w:multiLevelType w:val="hybridMultilevel"/>
    <w:tmpl w:val="B68A44D8"/>
    <w:lvl w:ilvl="0" w:tplc="8D7C58A6">
      <w:start w:val="10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3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4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16"/>
  </w:num>
  <w:num w:numId="4">
    <w:abstractNumId w:val="10"/>
  </w:num>
  <w:num w:numId="5">
    <w:abstractNumId w:val="37"/>
  </w:num>
  <w:num w:numId="6">
    <w:abstractNumId w:val="38"/>
  </w:num>
  <w:num w:numId="7">
    <w:abstractNumId w:val="41"/>
  </w:num>
  <w:num w:numId="8">
    <w:abstractNumId w:val="27"/>
  </w:num>
  <w:num w:numId="9">
    <w:abstractNumId w:val="8"/>
  </w:num>
  <w:num w:numId="10">
    <w:abstractNumId w:val="46"/>
  </w:num>
  <w:num w:numId="11">
    <w:abstractNumId w:val="31"/>
  </w:num>
  <w:num w:numId="12">
    <w:abstractNumId w:val="32"/>
  </w:num>
  <w:num w:numId="13">
    <w:abstractNumId w:val="43"/>
  </w:num>
  <w:num w:numId="14">
    <w:abstractNumId w:val="9"/>
  </w:num>
  <w:num w:numId="15">
    <w:abstractNumId w:val="19"/>
  </w:num>
  <w:num w:numId="16">
    <w:abstractNumId w:val="22"/>
  </w:num>
  <w:num w:numId="17">
    <w:abstractNumId w:val="45"/>
  </w:num>
  <w:num w:numId="18">
    <w:abstractNumId w:val="25"/>
  </w:num>
  <w:num w:numId="19">
    <w:abstractNumId w:val="3"/>
  </w:num>
  <w:num w:numId="20">
    <w:abstractNumId w:val="18"/>
  </w:num>
  <w:num w:numId="21">
    <w:abstractNumId w:val="24"/>
  </w:num>
  <w:num w:numId="22">
    <w:abstractNumId w:val="21"/>
  </w:num>
  <w:num w:numId="23">
    <w:abstractNumId w:val="29"/>
  </w:num>
  <w:num w:numId="24">
    <w:abstractNumId w:val="33"/>
  </w:num>
  <w:num w:numId="25">
    <w:abstractNumId w:val="42"/>
  </w:num>
  <w:num w:numId="26">
    <w:abstractNumId w:val="40"/>
  </w:num>
  <w:num w:numId="27">
    <w:abstractNumId w:val="17"/>
  </w:num>
  <w:num w:numId="28">
    <w:abstractNumId w:val="34"/>
  </w:num>
  <w:num w:numId="29">
    <w:abstractNumId w:val="2"/>
  </w:num>
  <w:num w:numId="30">
    <w:abstractNumId w:val="44"/>
  </w:num>
  <w:num w:numId="31">
    <w:abstractNumId w:val="13"/>
  </w:num>
  <w:num w:numId="32">
    <w:abstractNumId w:val="4"/>
  </w:num>
  <w:num w:numId="33">
    <w:abstractNumId w:val="26"/>
  </w:num>
  <w:num w:numId="34">
    <w:abstractNumId w:val="7"/>
  </w:num>
  <w:num w:numId="35">
    <w:abstractNumId w:val="20"/>
  </w:num>
  <w:num w:numId="36">
    <w:abstractNumId w:val="11"/>
  </w:num>
  <w:num w:numId="37">
    <w:abstractNumId w:val="30"/>
  </w:num>
  <w:num w:numId="38">
    <w:abstractNumId w:val="35"/>
  </w:num>
  <w:num w:numId="39">
    <w:abstractNumId w:val="15"/>
  </w:num>
  <w:num w:numId="40">
    <w:abstractNumId w:val="23"/>
  </w:num>
  <w:num w:numId="41">
    <w:abstractNumId w:val="36"/>
  </w:num>
  <w:num w:numId="42">
    <w:abstractNumId w:val="5"/>
  </w:num>
  <w:num w:numId="43">
    <w:abstractNumId w:val="14"/>
  </w:num>
  <w:num w:numId="44">
    <w:abstractNumId w:val="6"/>
  </w:num>
  <w:num w:numId="45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5041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489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193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59A6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3E2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8BE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3F0193"/>
    <w:pPr>
      <w:keepNext/>
      <w:numPr>
        <w:numId w:val="4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720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F378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F378BE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tabs>
        <w:tab w:val="num" w:pos="0"/>
      </w:tabs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3F56-AEB1-4AAE-806C-F35708F6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3</cp:revision>
  <cp:lastPrinted>2018-10-05T18:06:00Z</cp:lastPrinted>
  <dcterms:created xsi:type="dcterms:W3CDTF">2018-10-05T14:29:00Z</dcterms:created>
  <dcterms:modified xsi:type="dcterms:W3CDTF">2018-10-05T18:06:00Z</dcterms:modified>
</cp:coreProperties>
</file>